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2DAF8" w14:textId="77777777" w:rsidR="00B73C72" w:rsidRDefault="009E4730"/>
    <w:p w14:paraId="0467023C" w14:textId="1F4E1BB4" w:rsidR="00B73C72" w:rsidRPr="009E4730" w:rsidRDefault="009E4730">
      <w:pPr>
        <w:rPr>
          <w:rFonts w:ascii="Arial" w:hAnsi="Arial" w:cs="Arial"/>
          <w:b/>
          <w:bCs/>
          <w:color w:val="9BBB59" w:themeColor="accent3"/>
        </w:rPr>
      </w:pPr>
      <w:r>
        <w:rPr>
          <w:rFonts w:ascii="Arial" w:hAnsi="Arial" w:cs="Arial"/>
          <w:b/>
          <w:bCs/>
          <w:color w:val="9BBB59" w:themeColor="accent3"/>
        </w:rPr>
        <w:t>PUBLIC DISCLOSURE</w:t>
      </w:r>
    </w:p>
    <w:p w14:paraId="7ECD7CBA" w14:textId="77777777" w:rsidR="00B73C72" w:rsidRDefault="009E4730">
      <w:pPr>
        <w:rPr>
          <w:rFonts w:ascii="Arial" w:hAnsi="Arial" w:cs="Arial"/>
        </w:rPr>
      </w:pPr>
    </w:p>
    <w:p w14:paraId="59363553" w14:textId="77777777" w:rsidR="00640A11" w:rsidRDefault="00640A11">
      <w:pPr>
        <w:rPr>
          <w:rFonts w:ascii="Arial" w:hAnsi="Arial" w:cs="Arial"/>
        </w:rPr>
      </w:pPr>
    </w:p>
    <w:p w14:paraId="500B8265" w14:textId="77777777" w:rsidR="00640A11" w:rsidRDefault="00640A11">
      <w:pPr>
        <w:rPr>
          <w:rFonts w:ascii="Arial" w:hAnsi="Arial" w:cs="Arial"/>
        </w:rPr>
      </w:pPr>
    </w:p>
    <w:p w14:paraId="2C36EFF8" w14:textId="0FA88BE5" w:rsidR="00B73C72" w:rsidRPr="007E6E2F" w:rsidRDefault="0068205A">
      <w:pPr>
        <w:rPr>
          <w:rFonts w:ascii="Arial" w:hAnsi="Arial" w:cs="Arial"/>
        </w:rPr>
      </w:pPr>
      <w:r>
        <w:rPr>
          <w:rFonts w:ascii="Arial" w:hAnsi="Arial" w:cs="Arial"/>
        </w:rPr>
        <w:t>March</w:t>
      </w:r>
      <w:r w:rsidRPr="0068011D">
        <w:rPr>
          <w:rFonts w:ascii="Arial" w:hAnsi="Arial" w:cs="Arial"/>
        </w:rPr>
        <w:t xml:space="preserve"> </w:t>
      </w:r>
      <w:r>
        <w:rPr>
          <w:rFonts w:ascii="Arial" w:hAnsi="Arial" w:cs="Arial"/>
        </w:rPr>
        <w:t>31</w:t>
      </w:r>
      <w:r w:rsidRPr="0068011D">
        <w:rPr>
          <w:rFonts w:ascii="Arial" w:hAnsi="Arial" w:cs="Arial"/>
        </w:rPr>
        <w:t>,</w:t>
      </w:r>
      <w:r w:rsidRPr="007E6E2F">
        <w:rPr>
          <w:rFonts w:ascii="Arial" w:hAnsi="Arial" w:cs="Arial"/>
        </w:rPr>
        <w:t xml:space="preserve"> 20</w:t>
      </w:r>
      <w:r>
        <w:rPr>
          <w:rFonts w:ascii="Arial" w:hAnsi="Arial" w:cs="Arial"/>
        </w:rPr>
        <w:t>21</w:t>
      </w:r>
    </w:p>
    <w:p w14:paraId="52A0D56F" w14:textId="77777777" w:rsidR="00B73C72" w:rsidRDefault="009E4730"/>
    <w:p w14:paraId="7F28E314" w14:textId="77777777" w:rsidR="00B73C72" w:rsidRDefault="009E4730"/>
    <w:p w14:paraId="5E9C7BB6" w14:textId="77777777" w:rsidR="00B73C72" w:rsidRDefault="009E4730"/>
    <w:p w14:paraId="3442E24A" w14:textId="77777777" w:rsidR="00B73C72" w:rsidRPr="0097140B" w:rsidRDefault="0068205A" w:rsidP="000C33AD">
      <w:pPr>
        <w:rPr>
          <w:rFonts w:ascii="Arial" w:hAnsi="Arial" w:cs="Arial"/>
        </w:rPr>
      </w:pPr>
      <w:r w:rsidRPr="0097140B">
        <w:rPr>
          <w:rFonts w:ascii="Arial" w:hAnsi="Arial" w:cs="Arial"/>
        </w:rPr>
        <w:t>Mr. Reece McAlister</w:t>
      </w:r>
    </w:p>
    <w:p w14:paraId="04EFFD50" w14:textId="77777777" w:rsidR="00B73C72" w:rsidRPr="0097140B" w:rsidRDefault="0068205A" w:rsidP="000C33AD">
      <w:pPr>
        <w:rPr>
          <w:rFonts w:ascii="Arial" w:hAnsi="Arial" w:cs="Arial"/>
        </w:rPr>
      </w:pPr>
      <w:r w:rsidRPr="0097140B">
        <w:rPr>
          <w:rFonts w:ascii="Arial" w:hAnsi="Arial" w:cs="Arial"/>
        </w:rPr>
        <w:t>Executive Secretary</w:t>
      </w:r>
    </w:p>
    <w:p w14:paraId="05D5A408" w14:textId="77777777" w:rsidR="00B73C72" w:rsidRPr="0097140B" w:rsidRDefault="0068205A" w:rsidP="000C33AD">
      <w:pPr>
        <w:rPr>
          <w:rFonts w:ascii="Arial" w:hAnsi="Arial" w:cs="Arial"/>
        </w:rPr>
      </w:pPr>
      <w:r w:rsidRPr="0097140B">
        <w:rPr>
          <w:rFonts w:ascii="Arial" w:hAnsi="Arial" w:cs="Arial"/>
        </w:rPr>
        <w:t>Georgia Public Service Commission</w:t>
      </w:r>
    </w:p>
    <w:p w14:paraId="700282B2" w14:textId="77777777" w:rsidR="00B73C72" w:rsidRPr="0097140B" w:rsidRDefault="0068205A" w:rsidP="000C33AD">
      <w:pPr>
        <w:rPr>
          <w:rFonts w:ascii="Arial" w:hAnsi="Arial" w:cs="Arial"/>
        </w:rPr>
      </w:pPr>
      <w:r w:rsidRPr="0097140B">
        <w:rPr>
          <w:rFonts w:ascii="Arial" w:hAnsi="Arial" w:cs="Arial"/>
        </w:rPr>
        <w:t>244 Washington Street, SW</w:t>
      </w:r>
    </w:p>
    <w:p w14:paraId="2B5CE4EB" w14:textId="77777777" w:rsidR="00B73C72" w:rsidRPr="0097140B" w:rsidRDefault="0068205A" w:rsidP="000C33AD">
      <w:pPr>
        <w:rPr>
          <w:rFonts w:ascii="Arial" w:hAnsi="Arial" w:cs="Arial"/>
        </w:rPr>
      </w:pPr>
      <w:r w:rsidRPr="0097140B">
        <w:rPr>
          <w:rFonts w:ascii="Arial" w:hAnsi="Arial" w:cs="Arial"/>
        </w:rPr>
        <w:t>Atlanta, GA  30334-5701</w:t>
      </w:r>
    </w:p>
    <w:p w14:paraId="25C6E7C2" w14:textId="77777777" w:rsidR="00B73C72" w:rsidRDefault="009E4730" w:rsidP="000C33AD">
      <w:pPr>
        <w:rPr>
          <w:rFonts w:ascii="Arial" w:hAnsi="Arial" w:cs="Arial"/>
        </w:rPr>
      </w:pPr>
    </w:p>
    <w:p w14:paraId="5AB5D5E4" w14:textId="77777777" w:rsidR="00B73C72" w:rsidRPr="0097140B" w:rsidRDefault="009E4730" w:rsidP="000C33AD">
      <w:pPr>
        <w:rPr>
          <w:rFonts w:ascii="Arial" w:hAnsi="Arial" w:cs="Arial"/>
        </w:rPr>
      </w:pPr>
    </w:p>
    <w:p w14:paraId="0CDB728F" w14:textId="77777777" w:rsidR="00B73C72" w:rsidRPr="0097140B" w:rsidRDefault="0068205A" w:rsidP="000C33AD">
      <w:pPr>
        <w:rPr>
          <w:rFonts w:ascii="Arial" w:hAnsi="Arial" w:cs="Arial"/>
          <w:b/>
          <w:bCs/>
        </w:rPr>
      </w:pPr>
      <w:r w:rsidRPr="0097140B">
        <w:rPr>
          <w:rFonts w:ascii="Arial" w:hAnsi="Arial" w:cs="Arial"/>
          <w:b/>
          <w:bCs/>
        </w:rPr>
        <w:t>RE:</w:t>
      </w:r>
      <w:r w:rsidRPr="0097140B">
        <w:rPr>
          <w:rFonts w:ascii="Arial" w:hAnsi="Arial" w:cs="Arial"/>
          <w:b/>
          <w:bCs/>
        </w:rPr>
        <w:tab/>
        <w:t>Georgia Power</w:t>
      </w:r>
      <w:r>
        <w:rPr>
          <w:rFonts w:ascii="Arial" w:hAnsi="Arial" w:cs="Arial"/>
          <w:b/>
          <w:bCs/>
        </w:rPr>
        <w:t xml:space="preserve"> Company</w:t>
      </w:r>
      <w:r w:rsidRPr="0097140B">
        <w:rPr>
          <w:rFonts w:ascii="Arial" w:hAnsi="Arial" w:cs="Arial"/>
          <w:b/>
          <w:bCs/>
        </w:rPr>
        <w:t>’s</w:t>
      </w:r>
      <w:r w:rsidRPr="00B34907">
        <w:t xml:space="preserve"> </w:t>
      </w:r>
      <w:r w:rsidRPr="00B34907">
        <w:rPr>
          <w:rFonts w:ascii="Arial" w:hAnsi="Arial" w:cs="Arial"/>
          <w:b/>
          <w:bCs/>
        </w:rPr>
        <w:t>Semi-Annual Coal Combustion Residuals Asset Retirement Obligation (CCR</w:t>
      </w:r>
      <w:r>
        <w:rPr>
          <w:rFonts w:ascii="Arial" w:hAnsi="Arial" w:cs="Arial"/>
          <w:b/>
          <w:bCs/>
        </w:rPr>
        <w:t xml:space="preserve"> </w:t>
      </w:r>
      <w:r w:rsidRPr="00B34907">
        <w:rPr>
          <w:rFonts w:ascii="Arial" w:hAnsi="Arial" w:cs="Arial"/>
          <w:b/>
          <w:bCs/>
        </w:rPr>
        <w:t>ARO) report</w:t>
      </w:r>
      <w:r>
        <w:rPr>
          <w:rFonts w:ascii="Arial" w:hAnsi="Arial" w:cs="Arial"/>
          <w:b/>
          <w:bCs/>
        </w:rPr>
        <w:t xml:space="preserve">s; Docket No. </w:t>
      </w:r>
      <w:r w:rsidRPr="00B34907">
        <w:rPr>
          <w:rFonts w:ascii="Arial" w:hAnsi="Arial" w:cs="Arial"/>
          <w:b/>
          <w:bCs/>
        </w:rPr>
        <w:t>43083</w:t>
      </w:r>
    </w:p>
    <w:p w14:paraId="59C68C8C" w14:textId="77777777" w:rsidR="00B73C72" w:rsidRDefault="009E4730" w:rsidP="000C33AD">
      <w:pPr>
        <w:rPr>
          <w:rFonts w:ascii="Arial" w:hAnsi="Arial" w:cs="Arial"/>
        </w:rPr>
      </w:pPr>
    </w:p>
    <w:p w14:paraId="310AC455" w14:textId="77777777" w:rsidR="00B73C72" w:rsidRPr="0097140B" w:rsidRDefault="009E4730" w:rsidP="000C33AD">
      <w:pPr>
        <w:rPr>
          <w:rFonts w:ascii="Arial" w:hAnsi="Arial" w:cs="Arial"/>
        </w:rPr>
      </w:pPr>
    </w:p>
    <w:p w14:paraId="051AB2D2" w14:textId="77777777" w:rsidR="00B73C72" w:rsidRPr="0097140B" w:rsidRDefault="0068205A" w:rsidP="000C33AD">
      <w:pPr>
        <w:rPr>
          <w:rFonts w:ascii="Arial" w:hAnsi="Arial" w:cs="Arial"/>
        </w:rPr>
      </w:pPr>
      <w:r w:rsidRPr="0097140B">
        <w:rPr>
          <w:rFonts w:ascii="Arial" w:hAnsi="Arial" w:cs="Arial"/>
        </w:rPr>
        <w:t>Dear Mr. McAlister:</w:t>
      </w:r>
    </w:p>
    <w:p w14:paraId="6C4ACFC5" w14:textId="77777777" w:rsidR="00B73C72" w:rsidRPr="0097140B" w:rsidRDefault="009E4730" w:rsidP="000C33AD">
      <w:pPr>
        <w:rPr>
          <w:rFonts w:ascii="Arial" w:hAnsi="Arial" w:cs="Arial"/>
        </w:rPr>
      </w:pPr>
    </w:p>
    <w:p w14:paraId="0D119C39" w14:textId="49DD9B65" w:rsidR="00A4600D" w:rsidRPr="00A4600D" w:rsidRDefault="0068205A" w:rsidP="00A4600D">
      <w:pPr>
        <w:jc w:val="both"/>
        <w:rPr>
          <w:rFonts w:ascii="Arial" w:hAnsi="Arial" w:cs="Arial"/>
        </w:rPr>
      </w:pPr>
      <w:r w:rsidRPr="1C82F6F8">
        <w:rPr>
          <w:rFonts w:ascii="Arial" w:hAnsi="Arial" w:cs="Arial"/>
        </w:rPr>
        <w:t>Enclosed for filing in compliance with the Georgia Public Service Commission’s (“Commission”) July 29, 2019 Order Adopting Stipulation as Amended in Docket No. 42310 (“2019 IRP Final Order”) is Georgia Power Company’s (the “Company”) Semi-Annual CCR ARO Report (“Report”). The Company files this Report to update the Commission on the Company CCR ARO compliance strategy activities through December 31, 2020 and other notable updates. Enclosed are the trade secret and public disclosure versions of the Report made in accordance with the Georgia Public Service Commission’s Alternative Electronic Filing Procedures issued on March 17, 2020.</w:t>
      </w:r>
    </w:p>
    <w:p w14:paraId="77A300A8" w14:textId="77777777" w:rsidR="00A4600D" w:rsidRPr="00A4600D" w:rsidRDefault="009E4730" w:rsidP="00A4600D">
      <w:pPr>
        <w:jc w:val="both"/>
        <w:rPr>
          <w:rFonts w:ascii="Arial" w:hAnsi="Arial" w:cs="Arial"/>
        </w:rPr>
      </w:pPr>
    </w:p>
    <w:p w14:paraId="435D37F3" w14:textId="77777777" w:rsidR="00B73C72" w:rsidRPr="0097140B" w:rsidRDefault="0068205A" w:rsidP="000C33AD">
      <w:pPr>
        <w:jc w:val="both"/>
        <w:rPr>
          <w:rFonts w:ascii="Arial" w:hAnsi="Arial" w:cs="Arial"/>
        </w:rPr>
      </w:pPr>
      <w:r w:rsidRPr="00A4600D">
        <w:rPr>
          <w:rFonts w:ascii="Arial" w:hAnsi="Arial" w:cs="Arial"/>
        </w:rPr>
        <w:t xml:space="preserve">This filing contains certain information that is being filed under the Commission’s trade secret rules as explained in the enclosed document regarding the basis for the assertion. </w:t>
      </w:r>
      <w:r w:rsidRPr="0097140B">
        <w:rPr>
          <w:rFonts w:ascii="Arial" w:hAnsi="Arial" w:cs="Arial"/>
        </w:rPr>
        <w:t xml:space="preserve">If you have any questions, please call </w:t>
      </w:r>
      <w:r>
        <w:rPr>
          <w:rFonts w:ascii="Arial" w:hAnsi="Arial" w:cs="Arial"/>
        </w:rPr>
        <w:t>Cheryl Johnson at 404-506-6837.</w:t>
      </w:r>
    </w:p>
    <w:p w14:paraId="6A38361F" w14:textId="77777777" w:rsidR="00B73C72" w:rsidRPr="0097140B" w:rsidRDefault="009E4730" w:rsidP="000C33AD">
      <w:pPr>
        <w:rPr>
          <w:rFonts w:ascii="Arial" w:hAnsi="Arial" w:cs="Arial"/>
        </w:rPr>
      </w:pPr>
    </w:p>
    <w:p w14:paraId="09814318" w14:textId="77777777" w:rsidR="00B73C72" w:rsidRPr="0097140B" w:rsidRDefault="0068205A" w:rsidP="000C33AD">
      <w:pPr>
        <w:rPr>
          <w:rFonts w:ascii="Arial" w:hAnsi="Arial" w:cs="Arial"/>
        </w:rPr>
      </w:pPr>
      <w:r w:rsidRPr="0097140B">
        <w:rPr>
          <w:rFonts w:ascii="Arial" w:hAnsi="Arial" w:cs="Arial"/>
        </w:rPr>
        <w:t>Sincerely,</w:t>
      </w:r>
    </w:p>
    <w:p w14:paraId="3EF79E8D" w14:textId="77777777" w:rsidR="00B73C72" w:rsidRPr="0097140B" w:rsidRDefault="009E4730" w:rsidP="000C33AD">
      <w:pPr>
        <w:rPr>
          <w:rFonts w:ascii="Arial" w:hAnsi="Arial" w:cs="Arial"/>
        </w:rPr>
      </w:pPr>
    </w:p>
    <w:p w14:paraId="3C8A4EDB" w14:textId="45F672E1" w:rsidR="00B73C72" w:rsidRPr="0097140B" w:rsidRDefault="00077831" w:rsidP="000C33AD">
      <w:pPr>
        <w:rPr>
          <w:rFonts w:ascii="Arial" w:hAnsi="Arial" w:cs="Arial"/>
        </w:rPr>
      </w:pPr>
      <w:r>
        <w:rPr>
          <w:rFonts w:ascii="Arial" w:hAnsi="Arial" w:cs="Arial"/>
        </w:rPr>
        <w:t>/s/ Kelley Balkcom</w:t>
      </w:r>
    </w:p>
    <w:p w14:paraId="20FFF3EA" w14:textId="77777777" w:rsidR="00B73C72" w:rsidRPr="0097140B" w:rsidRDefault="009E4730" w:rsidP="000C33AD">
      <w:pPr>
        <w:rPr>
          <w:rFonts w:ascii="Arial" w:hAnsi="Arial" w:cs="Arial"/>
        </w:rPr>
      </w:pPr>
    </w:p>
    <w:p w14:paraId="163D0F02" w14:textId="77777777" w:rsidR="00B73C72" w:rsidRPr="0097140B" w:rsidRDefault="0068205A" w:rsidP="000C33AD">
      <w:pPr>
        <w:rPr>
          <w:rFonts w:ascii="Arial" w:hAnsi="Arial" w:cs="Arial"/>
        </w:rPr>
      </w:pPr>
      <w:r>
        <w:rPr>
          <w:rFonts w:ascii="Arial" w:hAnsi="Arial" w:cs="Arial"/>
        </w:rPr>
        <w:t>Kelley Balkcom</w:t>
      </w:r>
    </w:p>
    <w:p w14:paraId="3F757FA4" w14:textId="77777777" w:rsidR="00B73C72" w:rsidRDefault="0068205A" w:rsidP="000C33AD">
      <w:pPr>
        <w:rPr>
          <w:rFonts w:ascii="Arial" w:hAnsi="Arial" w:cs="Arial"/>
        </w:rPr>
      </w:pPr>
      <w:r>
        <w:rPr>
          <w:rFonts w:ascii="Arial" w:hAnsi="Arial" w:cs="Arial"/>
        </w:rPr>
        <w:t>Director</w:t>
      </w:r>
      <w:r w:rsidRPr="0097140B">
        <w:rPr>
          <w:rFonts w:ascii="Arial" w:hAnsi="Arial" w:cs="Arial"/>
        </w:rPr>
        <w:t>, Regulatory Affairs</w:t>
      </w:r>
    </w:p>
    <w:p w14:paraId="19AE8E19" w14:textId="77777777" w:rsidR="00D774B4" w:rsidRDefault="0068205A" w:rsidP="000C33AD">
      <w:pPr>
        <w:rPr>
          <w:rFonts w:ascii="Arial" w:hAnsi="Arial" w:cs="Arial"/>
        </w:rPr>
      </w:pPr>
      <w:r>
        <w:rPr>
          <w:rFonts w:ascii="Arial" w:hAnsi="Arial" w:cs="Arial"/>
        </w:rPr>
        <w:t>Georgia Power Company</w:t>
      </w:r>
    </w:p>
    <w:p w14:paraId="588E0E8D" w14:textId="77777777" w:rsidR="003941FB" w:rsidRDefault="009E4730" w:rsidP="00002EA7">
      <w:pPr>
        <w:rPr>
          <w:rFonts w:ascii="Arial" w:hAnsi="Arial" w:cs="Arial"/>
        </w:rPr>
      </w:pPr>
    </w:p>
    <w:p w14:paraId="5CD11D46" w14:textId="77777777" w:rsidR="00B73C72" w:rsidRPr="0066567B" w:rsidRDefault="0068205A" w:rsidP="00002EA7">
      <w:pPr>
        <w:rPr>
          <w:rFonts w:ascii="Arial" w:hAnsi="Arial" w:cs="Arial"/>
        </w:rPr>
      </w:pPr>
      <w:r>
        <w:rPr>
          <w:rFonts w:ascii="Arial" w:hAnsi="Arial" w:cs="Arial"/>
        </w:rPr>
        <w:t>Enclosure</w:t>
      </w:r>
    </w:p>
    <w:sectPr w:rsidR="00B73C72" w:rsidRPr="0066567B" w:rsidSect="0017279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617FC" w14:textId="77777777" w:rsidR="0068205A" w:rsidRDefault="0068205A">
      <w:r>
        <w:separator/>
      </w:r>
    </w:p>
  </w:endnote>
  <w:endnote w:type="continuationSeparator" w:id="0">
    <w:p w14:paraId="424C5E4C" w14:textId="77777777" w:rsidR="0068205A" w:rsidRDefault="0068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27702" w14:textId="77777777" w:rsidR="0068205A" w:rsidRDefault="0068205A">
      <w:r>
        <w:separator/>
      </w:r>
    </w:p>
  </w:footnote>
  <w:footnote w:type="continuationSeparator" w:id="0">
    <w:p w14:paraId="47E6EB8C" w14:textId="77777777" w:rsidR="0068205A" w:rsidRDefault="00682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90161" w14:textId="77777777" w:rsidR="001F1A26" w:rsidRPr="001D38EB" w:rsidRDefault="0068205A" w:rsidP="001F1A26">
    <w:pPr>
      <w:ind w:left="7200"/>
      <w:rPr>
        <w:color w:val="4A442A" w:themeColor="background2" w:themeShade="40"/>
        <w:sz w:val="16"/>
      </w:rPr>
    </w:pPr>
    <w:r w:rsidRPr="009D5C4E">
      <w:rPr>
        <w:noProof/>
      </w:rPr>
      <w:drawing>
        <wp:anchor distT="0" distB="0" distL="114300" distR="114300" simplePos="0" relativeHeight="251658240" behindDoc="0" locked="0" layoutInCell="1" allowOverlap="1" wp14:anchorId="7CE2A46C" wp14:editId="1DCAC098">
          <wp:simplePos x="0" y="0"/>
          <wp:positionH relativeFrom="margin">
            <wp:posOffset>32741</wp:posOffset>
          </wp:positionH>
          <wp:positionV relativeFrom="paragraph">
            <wp:posOffset>-78613</wp:posOffset>
          </wp:positionV>
          <wp:extent cx="2092325" cy="41465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_power_h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2325" cy="414655"/>
                  </a:xfrm>
                  <a:prstGeom prst="rect">
                    <a:avLst/>
                  </a:prstGeom>
                </pic:spPr>
              </pic:pic>
            </a:graphicData>
          </a:graphic>
        </wp:anchor>
      </w:drawing>
    </w:r>
    <w:r w:rsidRPr="09B808B9">
      <w:rPr>
        <w:color w:val="4A442A" w:themeColor="background2" w:themeShade="40"/>
        <w:sz w:val="16"/>
        <w:szCs w:val="16"/>
      </w:rPr>
      <w:t>Bin 10230</w:t>
    </w:r>
  </w:p>
  <w:p w14:paraId="4956B669" w14:textId="77777777" w:rsidR="001F1A26" w:rsidRPr="001D38EB" w:rsidRDefault="0068205A" w:rsidP="001F1A26">
    <w:pPr>
      <w:ind w:left="7200"/>
      <w:rPr>
        <w:color w:val="4A442A" w:themeColor="background2" w:themeShade="40"/>
        <w:sz w:val="16"/>
      </w:rPr>
    </w:pPr>
    <w:r w:rsidRPr="001D38EB">
      <w:rPr>
        <w:color w:val="4A442A" w:themeColor="background2" w:themeShade="40"/>
        <w:sz w:val="16"/>
      </w:rPr>
      <w:t>241 Ralph McGill Boulevard NE</w:t>
    </w:r>
  </w:p>
  <w:p w14:paraId="1EA0C19F" w14:textId="77777777" w:rsidR="001F1A26" w:rsidRDefault="0068205A" w:rsidP="001F1A26">
    <w:pPr>
      <w:pStyle w:val="Header"/>
      <w:tabs>
        <w:tab w:val="clear" w:pos="8640"/>
        <w:tab w:val="left" w:pos="7200"/>
        <w:tab w:val="right" w:pos="9360"/>
      </w:tabs>
    </w:pPr>
    <w:r>
      <w:rPr>
        <w:color w:val="4A442A" w:themeColor="background2" w:themeShade="40"/>
        <w:sz w:val="16"/>
      </w:rPr>
      <w:tab/>
    </w:r>
    <w:r>
      <w:rPr>
        <w:color w:val="4A442A" w:themeColor="background2" w:themeShade="40"/>
        <w:sz w:val="16"/>
      </w:rPr>
      <w:tab/>
    </w:r>
    <w:r w:rsidRPr="001D38EB">
      <w:rPr>
        <w:color w:val="4A442A" w:themeColor="background2" w:themeShade="40"/>
        <w:sz w:val="16"/>
      </w:rPr>
      <w:t>Atlanta, GA 30308-3374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F435F8"/>
    <w:multiLevelType w:val="hybridMultilevel"/>
    <w:tmpl w:val="38E66230"/>
    <w:lvl w:ilvl="0" w:tplc="4BFEA8A8">
      <w:start w:val="1"/>
      <w:numFmt w:val="bullet"/>
      <w:lvlText w:val=""/>
      <w:lvlJc w:val="left"/>
      <w:pPr>
        <w:ind w:left="720" w:hanging="360"/>
      </w:pPr>
      <w:rPr>
        <w:rFonts w:ascii="Symbol" w:hAnsi="Symbol" w:cs="Symbol" w:hint="default"/>
      </w:rPr>
    </w:lvl>
    <w:lvl w:ilvl="1" w:tplc="ADDA2EAE">
      <w:start w:val="1"/>
      <w:numFmt w:val="bullet"/>
      <w:lvlText w:val="o"/>
      <w:lvlJc w:val="left"/>
      <w:pPr>
        <w:ind w:left="1440" w:hanging="360"/>
      </w:pPr>
      <w:rPr>
        <w:rFonts w:ascii="Courier New" w:hAnsi="Courier New" w:cs="Courier New" w:hint="default"/>
      </w:rPr>
    </w:lvl>
    <w:lvl w:ilvl="2" w:tplc="2EDAEED6">
      <w:start w:val="1"/>
      <w:numFmt w:val="bullet"/>
      <w:lvlText w:val="*"/>
      <w:lvlJc w:val="left"/>
      <w:pPr>
        <w:ind w:left="2160" w:hanging="360"/>
      </w:pPr>
      <w:rPr>
        <w:rFonts w:ascii="Courier New" w:hAnsi="Courier New" w:cs="Courier New" w:hint="default"/>
      </w:rPr>
    </w:lvl>
    <w:lvl w:ilvl="3" w:tplc="246A7B76" w:tentative="1">
      <w:start w:val="1"/>
      <w:numFmt w:val="bullet"/>
      <w:lvlText w:val=""/>
      <w:lvlJc w:val="left"/>
      <w:pPr>
        <w:ind w:left="2880" w:hanging="360"/>
      </w:pPr>
      <w:rPr>
        <w:rFonts w:ascii="Symbol" w:hAnsi="Symbol" w:cs="Symbol" w:hint="default"/>
      </w:rPr>
    </w:lvl>
    <w:lvl w:ilvl="4" w:tplc="FD380B92" w:tentative="1">
      <w:start w:val="1"/>
      <w:numFmt w:val="bullet"/>
      <w:lvlText w:val="o"/>
      <w:lvlJc w:val="left"/>
      <w:pPr>
        <w:ind w:left="3600" w:hanging="360"/>
      </w:pPr>
      <w:rPr>
        <w:rFonts w:ascii="Courier New" w:hAnsi="Courier New" w:cs="Courier New" w:hint="default"/>
      </w:rPr>
    </w:lvl>
    <w:lvl w:ilvl="5" w:tplc="419EB1CC" w:tentative="1">
      <w:start w:val="1"/>
      <w:numFmt w:val="bullet"/>
      <w:lvlText w:val=""/>
      <w:lvlJc w:val="left"/>
      <w:pPr>
        <w:ind w:left="4320" w:hanging="360"/>
      </w:pPr>
      <w:rPr>
        <w:rFonts w:ascii="Wingdings" w:hAnsi="Wingdings" w:cs="Wingdings" w:hint="default"/>
      </w:rPr>
    </w:lvl>
    <w:lvl w:ilvl="6" w:tplc="8F2E448E" w:tentative="1">
      <w:start w:val="1"/>
      <w:numFmt w:val="bullet"/>
      <w:lvlText w:val=""/>
      <w:lvlJc w:val="left"/>
      <w:pPr>
        <w:ind w:left="5040" w:hanging="360"/>
      </w:pPr>
      <w:rPr>
        <w:rFonts w:ascii="Symbol" w:hAnsi="Symbol" w:cs="Symbol" w:hint="default"/>
      </w:rPr>
    </w:lvl>
    <w:lvl w:ilvl="7" w:tplc="8954EEFC" w:tentative="1">
      <w:start w:val="1"/>
      <w:numFmt w:val="bullet"/>
      <w:lvlText w:val="o"/>
      <w:lvlJc w:val="left"/>
      <w:pPr>
        <w:ind w:left="5760" w:hanging="360"/>
      </w:pPr>
      <w:rPr>
        <w:rFonts w:ascii="Courier New" w:hAnsi="Courier New" w:cs="Courier New" w:hint="default"/>
      </w:rPr>
    </w:lvl>
    <w:lvl w:ilvl="8" w:tplc="BFF80168" w:tentative="1">
      <w:start w:val="1"/>
      <w:numFmt w:val="bullet"/>
      <w:lvlText w:val=""/>
      <w:lvlJc w:val="left"/>
      <w:pPr>
        <w:ind w:left="6480" w:hanging="360"/>
      </w:pPr>
      <w:rPr>
        <w:rFonts w:ascii="Wingdings" w:hAnsi="Wingdings" w:cs="Wingdings" w:hint="default"/>
      </w:rPr>
    </w:lvl>
  </w:abstractNum>
  <w:abstractNum w:abstractNumId="1" w15:restartNumberingAfterBreak="0">
    <w:nsid w:val="77525F6F"/>
    <w:multiLevelType w:val="hybridMultilevel"/>
    <w:tmpl w:val="68F85658"/>
    <w:lvl w:ilvl="0" w:tplc="D39EF91E">
      <w:start w:val="1"/>
      <w:numFmt w:val="bullet"/>
      <w:lvlText w:val=""/>
      <w:lvlJc w:val="left"/>
      <w:pPr>
        <w:ind w:left="720" w:hanging="360"/>
      </w:pPr>
      <w:rPr>
        <w:rFonts w:ascii="Symbol" w:hAnsi="Symbol" w:hint="default"/>
      </w:rPr>
    </w:lvl>
    <w:lvl w:ilvl="1" w:tplc="7BB08F76">
      <w:start w:val="1"/>
      <w:numFmt w:val="bullet"/>
      <w:lvlText w:val="*"/>
      <w:lvlJc w:val="left"/>
      <w:pPr>
        <w:ind w:left="1440" w:hanging="360"/>
      </w:pPr>
      <w:rPr>
        <w:rFonts w:ascii="Courier New" w:hAnsi="Courier New" w:cs="Courier New" w:hint="default"/>
      </w:rPr>
    </w:lvl>
    <w:lvl w:ilvl="2" w:tplc="3C341BC0">
      <w:start w:val="1"/>
      <w:numFmt w:val="bullet"/>
      <w:lvlText w:val="*"/>
      <w:lvlJc w:val="left"/>
      <w:pPr>
        <w:ind w:left="2160" w:hanging="360"/>
      </w:pPr>
      <w:rPr>
        <w:rFonts w:ascii="Courier New" w:hAnsi="Courier New" w:cs="Courier New" w:hint="default"/>
      </w:rPr>
    </w:lvl>
    <w:lvl w:ilvl="3" w:tplc="ED14B4B4" w:tentative="1">
      <w:start w:val="1"/>
      <w:numFmt w:val="bullet"/>
      <w:lvlText w:val=""/>
      <w:lvlJc w:val="left"/>
      <w:pPr>
        <w:ind w:left="2880" w:hanging="360"/>
      </w:pPr>
      <w:rPr>
        <w:rFonts w:ascii="Symbol" w:hAnsi="Symbol" w:cs="Symbol" w:hint="default"/>
      </w:rPr>
    </w:lvl>
    <w:lvl w:ilvl="4" w:tplc="0E40330E" w:tentative="1">
      <w:start w:val="1"/>
      <w:numFmt w:val="bullet"/>
      <w:lvlText w:val="o"/>
      <w:lvlJc w:val="left"/>
      <w:pPr>
        <w:ind w:left="3600" w:hanging="360"/>
      </w:pPr>
      <w:rPr>
        <w:rFonts w:ascii="Courier New" w:hAnsi="Courier New" w:cs="Courier New" w:hint="default"/>
      </w:rPr>
    </w:lvl>
    <w:lvl w:ilvl="5" w:tplc="1024AAD8" w:tentative="1">
      <w:start w:val="1"/>
      <w:numFmt w:val="bullet"/>
      <w:lvlText w:val=""/>
      <w:lvlJc w:val="left"/>
      <w:pPr>
        <w:ind w:left="4320" w:hanging="360"/>
      </w:pPr>
      <w:rPr>
        <w:rFonts w:ascii="Wingdings" w:hAnsi="Wingdings" w:cs="Wingdings" w:hint="default"/>
      </w:rPr>
    </w:lvl>
    <w:lvl w:ilvl="6" w:tplc="A314E97A" w:tentative="1">
      <w:start w:val="1"/>
      <w:numFmt w:val="bullet"/>
      <w:lvlText w:val=""/>
      <w:lvlJc w:val="left"/>
      <w:pPr>
        <w:ind w:left="5040" w:hanging="360"/>
      </w:pPr>
      <w:rPr>
        <w:rFonts w:ascii="Symbol" w:hAnsi="Symbol" w:cs="Symbol" w:hint="default"/>
      </w:rPr>
    </w:lvl>
    <w:lvl w:ilvl="7" w:tplc="79D2FFD8" w:tentative="1">
      <w:start w:val="1"/>
      <w:numFmt w:val="bullet"/>
      <w:lvlText w:val="o"/>
      <w:lvlJc w:val="left"/>
      <w:pPr>
        <w:ind w:left="5760" w:hanging="360"/>
      </w:pPr>
      <w:rPr>
        <w:rFonts w:ascii="Courier New" w:hAnsi="Courier New" w:cs="Courier New" w:hint="default"/>
      </w:rPr>
    </w:lvl>
    <w:lvl w:ilvl="8" w:tplc="AABA1866"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displayVertic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3BF"/>
    <w:rsid w:val="00077831"/>
    <w:rsid w:val="00560951"/>
    <w:rsid w:val="0059052C"/>
    <w:rsid w:val="00640A11"/>
    <w:rsid w:val="0068205A"/>
    <w:rsid w:val="008179A9"/>
    <w:rsid w:val="009E4730"/>
    <w:rsid w:val="00F80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70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5355"/>
    <w:rPr>
      <w:rFonts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B1AC2"/>
    <w:rPr>
      <w:rFonts w:ascii="Tahoma" w:hAnsi="Tahoma" w:cs="Tahoma"/>
      <w:sz w:val="16"/>
      <w:szCs w:val="16"/>
    </w:rPr>
  </w:style>
  <w:style w:type="character" w:customStyle="1" w:styleId="BalloonTextChar">
    <w:name w:val="Balloon Text Char"/>
    <w:basedOn w:val="DefaultParagraphFont"/>
    <w:link w:val="BalloonText"/>
    <w:uiPriority w:val="99"/>
    <w:rsid w:val="002B1AC2"/>
    <w:rPr>
      <w:rFonts w:ascii="Tahoma" w:hAnsi="Tahoma" w:cs="Tahoma"/>
      <w:sz w:val="16"/>
      <w:szCs w:val="16"/>
    </w:rPr>
  </w:style>
  <w:style w:type="paragraph" w:styleId="ListParagraph">
    <w:name w:val="List Paragraph"/>
    <w:basedOn w:val="Normal"/>
    <w:uiPriority w:val="99"/>
    <w:qFormat/>
    <w:rsid w:val="002B1AC2"/>
    <w:pPr>
      <w:ind w:left="720"/>
      <w:contextualSpacing/>
    </w:pPr>
  </w:style>
  <w:style w:type="paragraph" w:styleId="Header">
    <w:name w:val="header"/>
    <w:basedOn w:val="Normal"/>
    <w:link w:val="HeaderChar"/>
    <w:uiPriority w:val="99"/>
    <w:rsid w:val="00A048FB"/>
    <w:pPr>
      <w:tabs>
        <w:tab w:val="center" w:pos="4320"/>
        <w:tab w:val="right" w:pos="8640"/>
      </w:tabs>
    </w:pPr>
  </w:style>
  <w:style w:type="character" w:customStyle="1" w:styleId="HeaderChar">
    <w:name w:val="Header Char"/>
    <w:basedOn w:val="DefaultParagraphFont"/>
    <w:link w:val="Header"/>
    <w:uiPriority w:val="99"/>
    <w:semiHidden/>
    <w:rsid w:val="00A23938"/>
    <w:rPr>
      <w:rFonts w:cs="Calibri"/>
      <w:color w:val="000000"/>
    </w:rPr>
  </w:style>
  <w:style w:type="paragraph" w:styleId="Footer">
    <w:name w:val="footer"/>
    <w:basedOn w:val="Normal"/>
    <w:link w:val="FooterChar"/>
    <w:uiPriority w:val="99"/>
    <w:rsid w:val="00A048FB"/>
    <w:pPr>
      <w:tabs>
        <w:tab w:val="center" w:pos="4320"/>
        <w:tab w:val="right" w:pos="8640"/>
      </w:tabs>
    </w:pPr>
  </w:style>
  <w:style w:type="character" w:customStyle="1" w:styleId="FooterChar">
    <w:name w:val="Footer Char"/>
    <w:basedOn w:val="DefaultParagraphFont"/>
    <w:link w:val="Footer"/>
    <w:uiPriority w:val="99"/>
    <w:semiHidden/>
    <w:rsid w:val="00A23938"/>
    <w:rPr>
      <w:rFonts w:cs="Calibri"/>
      <w:color w:val="000000"/>
    </w:rPr>
  </w:style>
  <w:style w:type="character" w:customStyle="1" w:styleId="zzmpTrailerItem">
    <w:name w:val="zzmpTrailerItem"/>
    <w:basedOn w:val="DefaultParagraphFont"/>
    <w:rsid w:val="00A16F5B"/>
    <w:rPr>
      <w:rFonts w:ascii="Calibri" w:hAnsi="Calibri" w:cs="Calibri"/>
      <w:dstrike w:val="0"/>
      <w:noProof/>
      <w:color w:val="000000"/>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940F6E"/>
    <w:rPr>
      <w:sz w:val="16"/>
      <w:szCs w:val="16"/>
    </w:rPr>
  </w:style>
  <w:style w:type="paragraph" w:styleId="CommentText">
    <w:name w:val="annotation text"/>
    <w:basedOn w:val="Normal"/>
    <w:link w:val="CommentTextChar"/>
    <w:uiPriority w:val="99"/>
    <w:semiHidden/>
    <w:unhideWhenUsed/>
    <w:rsid w:val="00940F6E"/>
    <w:rPr>
      <w:sz w:val="20"/>
      <w:szCs w:val="20"/>
    </w:rPr>
  </w:style>
  <w:style w:type="character" w:customStyle="1" w:styleId="CommentTextChar">
    <w:name w:val="Comment Text Char"/>
    <w:basedOn w:val="DefaultParagraphFont"/>
    <w:link w:val="CommentText"/>
    <w:uiPriority w:val="99"/>
    <w:semiHidden/>
    <w:rsid w:val="00940F6E"/>
    <w:rPr>
      <w:rFonts w:cs="Calibri"/>
      <w:color w:val="000000"/>
      <w:sz w:val="20"/>
      <w:szCs w:val="20"/>
    </w:rPr>
  </w:style>
  <w:style w:type="paragraph" w:styleId="CommentSubject">
    <w:name w:val="annotation subject"/>
    <w:basedOn w:val="CommentText"/>
    <w:next w:val="CommentText"/>
    <w:link w:val="CommentSubjectChar"/>
    <w:uiPriority w:val="99"/>
    <w:semiHidden/>
    <w:unhideWhenUsed/>
    <w:rsid w:val="00940F6E"/>
    <w:rPr>
      <w:b/>
      <w:bCs/>
    </w:rPr>
  </w:style>
  <w:style w:type="character" w:customStyle="1" w:styleId="CommentSubjectChar">
    <w:name w:val="Comment Subject Char"/>
    <w:basedOn w:val="CommentTextChar"/>
    <w:link w:val="CommentSubject"/>
    <w:uiPriority w:val="99"/>
    <w:semiHidden/>
    <w:rsid w:val="00940F6E"/>
    <w:rPr>
      <w:rFonts w:cs="Calibri"/>
      <w:b/>
      <w:bCs/>
      <w:color w:val="000000"/>
      <w:sz w:val="20"/>
      <w:szCs w:val="20"/>
    </w:rPr>
  </w:style>
  <w:style w:type="paragraph" w:styleId="Quote">
    <w:name w:val="Quote"/>
    <w:basedOn w:val="Normal"/>
    <w:next w:val="Normal"/>
    <w:link w:val="QuoteChar"/>
    <w:qFormat/>
    <w:rsid w:val="001F1A26"/>
    <w:pPr>
      <w:spacing w:after="240"/>
      <w:ind w:left="1440" w:right="1440"/>
    </w:pPr>
    <w:rPr>
      <w:rFonts w:ascii="Times New Roman" w:hAnsi="Times New Roman" w:cs="Times New Roman"/>
      <w:color w:val="auto"/>
      <w:sz w:val="24"/>
      <w:szCs w:val="20"/>
    </w:rPr>
  </w:style>
  <w:style w:type="character" w:customStyle="1" w:styleId="QuoteChar">
    <w:name w:val="Quote Char"/>
    <w:basedOn w:val="DefaultParagraphFont"/>
    <w:link w:val="Quote"/>
    <w:rsid w:val="001F1A26"/>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8A8B1-4410-4627-BE3F-BA008E048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2021-03-31T14:39:00Z</dcterms:created>
  <dcterms:modified xsi:type="dcterms:W3CDTF">2021-03-31T14:39:00Z</dcterms:modified>
</cp:coreProperties>
</file>